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uwxp3h5fo0dh" w:id="0"/>
      <w:bookmarkEnd w:id="0"/>
      <w:r w:rsidDel="00000000" w:rsidR="00000000" w:rsidRPr="00000000">
        <w:rPr>
          <w:rtl w:val="0"/>
        </w:rPr>
        <w:t xml:space="preserve">Spis treści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uwxp3h5fo0dh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Spis treści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pn7eiy27ued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Sanskryt – wstęp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3oz21w7nx1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Historia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soj78j220kd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Devanagari - देवनागरी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5dbrxejm58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Samogłoski znajdujące się na początku wyrazu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rog22bwq7v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Spółgłoski (z końcówką -a)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rnij1z4y6m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Inne spółgłoski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006x8bxsi4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Samogłoski w połączeniu z samogłoską, na przykładzie क ⟨ka⟩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yscfm8u15n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Wyjątki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qosln3ax521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Ligatury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xqz4kdsr8r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Ligatury poziome występują najczęściej ze znakami posiadającymi pionową linię (np. व ज ण त​).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s119v6xw98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Ligatury podwójne – regularne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i9zsmm8uci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Ligatury więcej niż dwóch znaków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pc2zfwkh8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Ligatury nieregularne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nw7vxdo45jv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Gramatyka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1bnfvv4np8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Struktura zdania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jal1awod1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deklinacja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tabs>
              <w:tab w:val="right" w:leader="dot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v4vy5site8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Deklinacja rzeczownika rodzaju męskiego z tematem zakończonym -a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tabs>
              <w:tab w:val="right" w:leader="dot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57sa88rmsb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Deklinacja rzeczownika rodzaju nijakiego z tematem zakończonym -a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ps0u2pjc12u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Czasownik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r6sbd14zka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संधि – saṃdhi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dot" w:pos="12000"/>
            </w:tabs>
            <w:spacing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9dwu86t9n9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anusvāra saṃdhi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w4urxla0sd3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Przydatne strony online, z opisem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l1xv2g6owe5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Podręczniki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ey1xmjw7piw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“Hej, co było na zadanie?”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dot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2t5axvmvow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27.02.2024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dot" w:pos="12000"/>
            </w:tabs>
            <w:spacing w:before="60" w:line="240" w:lineRule="auto"/>
            <w:ind w:left="108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v5eb47dae5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29.02.2024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E">
      <w:pPr>
        <w:rPr/>
        <w:sectPr>
          <w:headerReference r:id="rId6" w:type="default"/>
          <w:pgSz w:h="16834" w:w="11909" w:orient="portrait"/>
          <w:pgMar w:bottom="1440" w:top="1440" w:left="1440" w:right="1440" w:header="720.0000000000001" w:footer="720.000000000000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ypn7eiy27ued" w:id="1"/>
      <w:bookmarkEnd w:id="1"/>
      <w:r w:rsidDel="00000000" w:rsidR="00000000" w:rsidRPr="00000000">
        <w:rPr>
          <w:rtl w:val="0"/>
        </w:rPr>
        <w:t xml:space="preserve">Sanskryt – wstęp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संस्कृतम् – saṁskṛtam;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System pisma: देवनागरी – devanāgarī: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deva (bóg) + nāgarī (miastowa, od nagar (?), miasto);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IAST (International Alphabet of Sanskrit Transliteration) – tzw. zapis naukowy;</w:t>
      </w:r>
    </w:p>
    <w:p w:rsidR="00000000" w:rsidDel="00000000" w:rsidP="00000000" w:rsidRDefault="00000000" w:rsidRPr="00000000" w14:paraId="00000024">
      <w:pPr>
        <w:pStyle w:val="Heading2"/>
        <w:rPr/>
        <w:sectPr>
          <w:type w:val="nextPage"/>
          <w:pgSz w:h="16834" w:w="11909" w:orient="portrait"/>
          <w:pgMar w:bottom="1440" w:top="1440" w:left="1440" w:right="1440" w:header="720.0000000000001" w:footer="720.0000000000001"/>
        </w:sectPr>
      </w:pPr>
      <w:bookmarkStart w:colFirst="0" w:colLast="0" w:name="_c3oz21w7nx16" w:id="2"/>
      <w:bookmarkEnd w:id="2"/>
      <w:r w:rsidDel="00000000" w:rsidR="00000000" w:rsidRPr="00000000">
        <w:rPr>
          <w:rtl w:val="0"/>
        </w:rPr>
        <w:t xml:space="preserve">Historia</w:t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nsoj78j220kd" w:id="3"/>
      <w:bookmarkEnd w:id="3"/>
      <w:r w:rsidDel="00000000" w:rsidR="00000000" w:rsidRPr="00000000">
        <w:rPr>
          <w:rtl w:val="0"/>
        </w:rPr>
        <w:t xml:space="preserve">Devanagari</w:t>
      </w:r>
      <w:r w:rsidDel="00000000" w:rsidR="00000000" w:rsidRPr="00000000">
        <w:rPr>
          <w:rFonts w:ascii="Palanquin Dark" w:cs="Palanquin Dark" w:eastAsia="Palanquin Dark" w:hAnsi="Palanquin Dark"/>
          <w:rtl w:val="0"/>
        </w:rPr>
        <w:t xml:space="preserve"> - देवनागरी </w:t>
      </w:r>
    </w:p>
    <w:p w:rsidR="00000000" w:rsidDel="00000000" w:rsidP="00000000" w:rsidRDefault="00000000" w:rsidRPr="00000000" w14:paraId="00000026">
      <w:pPr>
        <w:pStyle w:val="Heading2"/>
        <w:rPr/>
      </w:pPr>
      <w:bookmarkStart w:colFirst="0" w:colLast="0" w:name="_75dbrxejm58c" w:id="4"/>
      <w:bookmarkEnd w:id="4"/>
      <w:r w:rsidDel="00000000" w:rsidR="00000000" w:rsidRPr="00000000">
        <w:rPr>
          <w:rtl w:val="0"/>
        </w:rPr>
        <w:t xml:space="preserve">Samogłoski znajdujące się na początku </w:t>
      </w:r>
      <w:r w:rsidDel="00000000" w:rsidR="00000000" w:rsidRPr="00000000">
        <w:rPr>
          <w:rtl w:val="0"/>
        </w:rPr>
        <w:t xml:space="preserve">wyrazu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"/>
        <w:gridCol w:w="1065"/>
        <w:gridCol w:w="1320"/>
        <w:gridCol w:w="945"/>
        <w:gridCol w:w="1110"/>
        <w:gridCol w:w="840"/>
        <w:gridCol w:w="720"/>
        <w:gridCol w:w="645"/>
        <w:gridCol w:w="585"/>
        <w:gridCol w:w="705"/>
        <w:tblGridChange w:id="0">
          <w:tblGrid>
            <w:gridCol w:w="1065"/>
            <w:gridCol w:w="1065"/>
            <w:gridCol w:w="1320"/>
            <w:gridCol w:w="945"/>
            <w:gridCol w:w="1110"/>
            <w:gridCol w:w="840"/>
            <w:gridCol w:w="720"/>
            <w:gridCol w:w="645"/>
            <w:gridCol w:w="585"/>
            <w:gridCol w:w="70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gardłowe/ krtaniowe/ welarne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podniebienne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wargowe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cerebralne/ szczytowe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zębowe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podniebienno-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gardłowe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wargowo-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gardłowe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9"/>
                <w:szCs w:val="29"/>
              </w:rPr>
            </w:pPr>
            <w:r w:rsidDel="00000000" w:rsidR="00000000" w:rsidRPr="00000000">
              <w:rPr>
                <w:sz w:val="29"/>
                <w:szCs w:val="29"/>
                <w:rtl w:val="0"/>
              </w:rPr>
              <w:t xml:space="preserve">krótkie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अ ⟨a⟩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इ ⟨i⟩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उ ⟨u⟩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ऋ ⟨ri⟩/⟨ṛ⟩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ऌ ⟨li⟩/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Cardo" w:cs="Cardo" w:eastAsia="Cardo" w:hAnsi="Cardo"/>
                <w:sz w:val="29"/>
                <w:szCs w:val="29"/>
                <w:rtl w:val="0"/>
              </w:rPr>
              <w:t xml:space="preserve">⟨ḷ⟩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-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-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-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9"/>
                <w:szCs w:val="29"/>
              </w:rPr>
            </w:pPr>
            <w:r w:rsidDel="00000000" w:rsidR="00000000" w:rsidRPr="00000000">
              <w:rPr>
                <w:sz w:val="29"/>
                <w:szCs w:val="29"/>
                <w:rtl w:val="0"/>
              </w:rPr>
              <w:t xml:space="preserve">długie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आ ⟨ā⟩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ई ⟨ī⟩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ऊ ⟨ū⟩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ॠ ⟨rī⟩/⟨ṝ⟩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ॡ ⟨lī⟩/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Cardo" w:cs="Cardo" w:eastAsia="Cardo" w:hAnsi="Cardo"/>
                <w:sz w:val="29"/>
                <w:szCs w:val="29"/>
                <w:rtl w:val="0"/>
              </w:rPr>
              <w:t xml:space="preserve">⟨ḹ⟩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ए ⟨e⟩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ऐ ⟨ai⟩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ओ ⟨o⟩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9"/>
                <w:szCs w:val="2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rtl w:val="0"/>
              </w:rPr>
              <w:t xml:space="preserve">औ ⟨au⟩</w:t>
            </w:r>
          </w:p>
        </w:tc>
      </w:tr>
    </w:tbl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rPr/>
      </w:pPr>
      <w:bookmarkStart w:colFirst="0" w:colLast="0" w:name="_jrog22bwq7v8" w:id="5"/>
      <w:bookmarkEnd w:id="5"/>
      <w:r w:rsidDel="00000000" w:rsidR="00000000" w:rsidRPr="00000000">
        <w:rPr>
          <w:rtl w:val="0"/>
        </w:rPr>
        <w:t xml:space="preserve">Spółgłoski (z końcówką -a)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[ang. </w:t>
      </w:r>
      <w:r w:rsidDel="00000000" w:rsidR="00000000" w:rsidRPr="00000000">
        <w:rPr>
          <w:i w:val="1"/>
          <w:rtl w:val="0"/>
        </w:rPr>
        <w:t xml:space="preserve">occlusives</w:t>
      </w:r>
      <w:r w:rsidDel="00000000" w:rsidR="00000000" w:rsidRPr="00000000">
        <w:rPr>
          <w:rtl w:val="0"/>
        </w:rPr>
        <w:t xml:space="preserve">, pol. </w:t>
      </w:r>
      <w:r w:rsidDel="00000000" w:rsidR="00000000" w:rsidRPr="00000000">
        <w:rPr>
          <w:i w:val="1"/>
          <w:rtl w:val="0"/>
        </w:rPr>
        <w:t xml:space="preserve">okluzje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rHeight w:val="660.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bezdźwięczne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dźwięczne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nosowe</w:t>
            </w:r>
          </w:p>
        </w:tc>
      </w:tr>
      <w:tr>
        <w:trPr>
          <w:cantSplit w:val="0"/>
          <w:trHeight w:val="660.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tylnojęzykowe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क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ka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ख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⟨kha⟩ [kʰɐ]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ग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⟨ga⟩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घ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⟨gha⟩ [gʱɐ]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ङ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⟨nga⟩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[ŋɐ]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podniebienne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च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ca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[t͜ɕɐ]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ća pol.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छ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⟨cha⟩ [t͜ɕʰɐ]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ज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⟨ja⟩ [d͜ʑɐ]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dźa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 pol.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झ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⟨jha⟩ [d͜ʑʱɐ]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ञ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⟨ña⟩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[ɲɐ]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ńa pol.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cerebralne/ szczytowe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ट ⟨ṭa⟩ [ʈɐ]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ठ ⟨ṭha⟩ [ʈʰɐ]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ड ⟨ḍa⟩ [ɖɐ]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ढ ⟨ḍha⟩ [ɖʱɐ]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ण ⟨ṇa⟩ [ɳɐ]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zębowe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त ⟨ta⟩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थ ⟨tha⟩ [tʰɐ]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द ⟨da⟩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ध ⟨dha⟩ [dʱɐ]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न ⟨na⟩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wargowe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प ⟨pa⟩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फ  ⟨pha⟩ [pʰɐ]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ब ⟨ba⟩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भ ⟨bha⟩ [bʱɐ]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म ⟨ma⟩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Głoski sonorne i szczelinowe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800"/>
        <w:gridCol w:w="2550"/>
        <w:gridCol w:w="1125"/>
        <w:gridCol w:w="1725"/>
        <w:tblGridChange w:id="0">
          <w:tblGrid>
            <w:gridCol w:w="1800"/>
            <w:gridCol w:w="1800"/>
            <w:gridCol w:w="2550"/>
            <w:gridCol w:w="1125"/>
            <w:gridCol w:w="17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sonorne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य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ya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 [jɐ]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र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ra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ल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la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2"/>
                <w:szCs w:val="32"/>
                <w:rtl w:val="0"/>
              </w:rPr>
              <w:t xml:space="preserve">व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va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 [ʋɐ]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szczelinowe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श 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śa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 [ɕɐ]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śa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 pol.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ष ⟨ṣa⟩ [ʂɐ] sza pol.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स ⟨sa⟩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 –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rPr/>
      </w:pPr>
      <w:bookmarkStart w:colFirst="0" w:colLast="0" w:name="_nrnij1z4y6mr" w:id="6"/>
      <w:bookmarkEnd w:id="6"/>
      <w:r w:rsidDel="00000000" w:rsidR="00000000" w:rsidRPr="00000000">
        <w:rPr>
          <w:rtl w:val="0"/>
        </w:rPr>
        <w:t xml:space="preserve">Inne spółgłoski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95"/>
        <w:gridCol w:w="4605"/>
        <w:tblGridChange w:id="0">
          <w:tblGrid>
            <w:gridCol w:w="4395"/>
            <w:gridCol w:w="46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ह ⟨ha⟩ [ɦɐ] dźwięczne “h”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ळ ⟨ḷa⟩</w:t>
            </w:r>
          </w:p>
        </w:tc>
      </w:tr>
    </w:tbl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2"/>
        <w:rPr>
          <w:rFonts w:ascii="Times New Roman" w:cs="Times New Roman" w:eastAsia="Times New Roman" w:hAnsi="Times New Roman"/>
        </w:rPr>
      </w:pPr>
      <w:bookmarkStart w:colFirst="0" w:colLast="0" w:name="_6006x8bxsi4p" w:id="7"/>
      <w:bookmarkEnd w:id="7"/>
      <w:r w:rsidDel="00000000" w:rsidR="00000000" w:rsidRPr="00000000">
        <w:rPr>
          <w:rtl w:val="0"/>
        </w:rPr>
        <w:t xml:space="preserve">Samogłoski w połączeniu z samogłoską, na przykładzie क </w:t>
      </w:r>
      <w:r w:rsidDel="00000000" w:rsidR="00000000" w:rsidRPr="00000000">
        <w:rPr>
          <w:rFonts w:ascii="Cardo" w:cs="Cardo" w:eastAsia="Cardo" w:hAnsi="Cardo"/>
          <w:rtl w:val="0"/>
        </w:rPr>
        <w:t xml:space="preserve">⟨ka⟩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 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⟨ka⟩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कि 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ki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कु 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ku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Baloo" w:cs="Baloo" w:eastAsia="Baloo" w:hAnsi="Baloo"/>
                <w:sz w:val="33"/>
                <w:szCs w:val="33"/>
                <w:rtl w:val="0"/>
              </w:rPr>
              <w:t xml:space="preserve">कृ 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kṛ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कॢ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kḷ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के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ke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को 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ko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का 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⟨kā⟩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की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kī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कू 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kū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कॄ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kṝ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लॣ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kḹ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कै 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kai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Baloo" w:cs="Baloo" w:eastAsia="Baloo" w:hAnsi="Baloo"/>
                <w:sz w:val="32"/>
                <w:szCs w:val="32"/>
                <w:rtl w:val="0"/>
              </w:rPr>
              <w:t xml:space="preserve">कौ 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kau</w:t>
            </w: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2"/>
        <w:rPr/>
      </w:pPr>
      <w:bookmarkStart w:colFirst="0" w:colLast="0" w:name="_syscfm8u15nf" w:id="8"/>
      <w:bookmarkEnd w:id="8"/>
      <w:r w:rsidDel="00000000" w:rsidR="00000000" w:rsidRPr="00000000">
        <w:rPr>
          <w:rtl w:val="0"/>
        </w:rPr>
        <w:t xml:space="preserve">Wyjątki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3"/>
                <w:szCs w:val="33"/>
                <w:rtl w:val="0"/>
              </w:rPr>
              <w:t xml:space="preserve">रु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⟨ru⟩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3"/>
                <w:szCs w:val="33"/>
                <w:rtl w:val="0"/>
              </w:rPr>
              <w:t xml:space="preserve"> रू 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3"/>
                <w:szCs w:val="33"/>
                <w:rtl w:val="0"/>
              </w:rPr>
              <w:t xml:space="preserve">⟨rū⟩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3"/>
                <w:szCs w:val="33"/>
                <w:rtl w:val="0"/>
              </w:rPr>
              <w:t xml:space="preserve">हृ 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⟨hṛ⟩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3"/>
                <w:szCs w:val="33"/>
                <w:rtl w:val="0"/>
              </w:rPr>
              <w:t xml:space="preserve">दृ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⟨dṛ⟩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33"/>
                <w:szCs w:val="33"/>
              </w:rPr>
            </w:pPr>
            <w:r w:rsidDel="00000000" w:rsidR="00000000" w:rsidRPr="00000000">
              <w:rPr>
                <w:rFonts w:ascii="Baloo" w:cs="Baloo" w:eastAsia="Baloo" w:hAnsi="Baloo"/>
                <w:sz w:val="33"/>
                <w:szCs w:val="33"/>
                <w:rtl w:val="0"/>
              </w:rPr>
              <w:t xml:space="preserve">हॄ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sz w:val="33"/>
                <w:szCs w:val="33"/>
              </w:rPr>
            </w:pPr>
            <w:r w:rsidDel="00000000" w:rsidR="00000000" w:rsidRPr="00000000">
              <w:rPr>
                <w:rFonts w:ascii="Cardo" w:cs="Cardo" w:eastAsia="Cardo" w:hAnsi="Cardo"/>
                <w:sz w:val="33"/>
                <w:szCs w:val="33"/>
                <w:rtl w:val="0"/>
              </w:rPr>
              <w:t xml:space="preserve">⟨hṝ⟩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rPr/>
        <w:sectPr>
          <w:type w:val="nextPage"/>
          <w:pgSz w:h="16834" w:w="11909" w:orient="portrait"/>
          <w:pgMar w:bottom="1440" w:top="1440" w:left="1440" w:right="1440" w:header="720.0000000000001" w:footer="720.00000000000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1"/>
        <w:rPr/>
      </w:pPr>
      <w:bookmarkStart w:colFirst="0" w:colLast="0" w:name="_uqosln3ax521" w:id="9"/>
      <w:bookmarkEnd w:id="9"/>
      <w:r w:rsidDel="00000000" w:rsidR="00000000" w:rsidRPr="00000000">
        <w:rPr>
          <w:rtl w:val="0"/>
        </w:rPr>
        <w:t xml:space="preserve">Ligatury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762000</wp:posOffset>
            </wp:positionV>
            <wp:extent cx="2809875" cy="193357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33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2"/>
        <w:rPr>
          <w:sz w:val="24"/>
          <w:szCs w:val="24"/>
        </w:rPr>
      </w:pPr>
      <w:bookmarkStart w:colFirst="0" w:colLast="0" w:name="_lxqz4kdsr8ra" w:id="10"/>
      <w:bookmarkEnd w:id="10"/>
      <w:r w:rsidDel="00000000" w:rsidR="00000000" w:rsidRPr="00000000">
        <w:rPr>
          <w:sz w:val="24"/>
          <w:szCs w:val="24"/>
          <w:rtl w:val="0"/>
        </w:rPr>
        <w:t xml:space="preserve">Ligatury poziome występują najczęściej ze znakami posiadającymi pionową linię (np. व ज ण त​).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Ligatury pionowe występują ze znakami zaokrąglonymi (np. ट ठ ढ​)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2"/>
        <w:rPr/>
      </w:pPr>
      <w:bookmarkStart w:colFirst="0" w:colLast="0" w:name="_yodigul0axp8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2"/>
        <w:rPr/>
      </w:pPr>
      <w:bookmarkStart w:colFirst="0" w:colLast="0" w:name="_es119v6xw98t" w:id="12"/>
      <w:bookmarkEnd w:id="12"/>
      <w:r w:rsidDel="00000000" w:rsidR="00000000" w:rsidRPr="00000000">
        <w:rPr>
          <w:rtl w:val="0"/>
        </w:rPr>
        <w:t xml:space="preserve">Ligatury podwójne – regularne</w:t>
      </w:r>
    </w:p>
    <w:p w:rsidR="00000000" w:rsidDel="00000000" w:rsidP="00000000" w:rsidRDefault="00000000" w:rsidRPr="00000000" w14:paraId="000000BD">
      <w:pPr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प + न = प्न</w:t>
      </w:r>
    </w:p>
    <w:p w:rsidR="00000000" w:rsidDel="00000000" w:rsidP="00000000" w:rsidRDefault="00000000" w:rsidRPr="00000000" w14:paraId="000000BE">
      <w:pPr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व + य = व्य</w:t>
      </w:r>
    </w:p>
    <w:p w:rsidR="00000000" w:rsidDel="00000000" w:rsidP="00000000" w:rsidRDefault="00000000" w:rsidRPr="00000000" w14:paraId="000000BF">
      <w:pPr>
        <w:pStyle w:val="Heading2"/>
        <w:rPr/>
      </w:pPr>
      <w:bookmarkStart w:colFirst="0" w:colLast="0" w:name="_ri9zsmm8uci5" w:id="13"/>
      <w:bookmarkEnd w:id="13"/>
      <w:r w:rsidDel="00000000" w:rsidR="00000000" w:rsidRPr="00000000">
        <w:rPr>
          <w:rtl w:val="0"/>
        </w:rPr>
        <w:t xml:space="preserve">Ligatury więcej niż dwóch znaków</w:t>
      </w:r>
    </w:p>
    <w:p w:rsidR="00000000" w:rsidDel="00000000" w:rsidP="00000000" w:rsidRDefault="00000000" w:rsidRPr="00000000" w14:paraId="000000C0">
      <w:pPr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त + म + य = त्म्य </w:t>
      </w:r>
    </w:p>
    <w:p w:rsidR="00000000" w:rsidDel="00000000" w:rsidP="00000000" w:rsidRDefault="00000000" w:rsidRPr="00000000" w14:paraId="000000C1">
      <w:pPr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प + त + य = प्त्य</w:t>
      </w:r>
    </w:p>
    <w:p w:rsidR="00000000" w:rsidDel="00000000" w:rsidP="00000000" w:rsidRDefault="00000000" w:rsidRPr="00000000" w14:paraId="000000C2">
      <w:pPr>
        <w:pStyle w:val="Heading2"/>
        <w:rPr/>
      </w:pPr>
      <w:bookmarkStart w:colFirst="0" w:colLast="0" w:name="_ipc2zfwkh8b" w:id="14"/>
      <w:bookmarkEnd w:id="14"/>
      <w:r w:rsidDel="00000000" w:rsidR="00000000" w:rsidRPr="00000000">
        <w:rPr>
          <w:rtl w:val="0"/>
        </w:rPr>
        <w:t xml:space="preserve">Ligatury nieregularne</w:t>
      </w:r>
    </w:p>
    <w:p w:rsidR="00000000" w:rsidDel="00000000" w:rsidP="00000000" w:rsidRDefault="00000000" w:rsidRPr="00000000" w14:paraId="000000C3">
      <w:pPr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र (ra) jest nieregularne</w:t>
      </w:r>
    </w:p>
    <w:p w:rsidR="00000000" w:rsidDel="00000000" w:rsidP="00000000" w:rsidRDefault="00000000" w:rsidRPr="00000000" w14:paraId="000000C4">
      <w:pPr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क् + र = क्र​</w:t>
      </w:r>
    </w:p>
    <w:p w:rsidR="00000000" w:rsidDel="00000000" w:rsidP="00000000" w:rsidRDefault="00000000" w:rsidRPr="00000000" w14:paraId="000000C5">
      <w:pPr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र् + क = र्क​</w:t>
      </w:r>
    </w:p>
    <w:p w:rsidR="00000000" w:rsidDel="00000000" w:rsidP="00000000" w:rsidRDefault="00000000" w:rsidRPr="00000000" w14:paraId="000000C6">
      <w:pPr>
        <w:rPr>
          <w:sz w:val="28"/>
          <w:szCs w:val="28"/>
        </w:rPr>
        <w:sectPr>
          <w:type w:val="nextPage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150312</wp:posOffset>
            </wp:positionV>
            <wp:extent cx="5091113" cy="2405392"/>
            <wp:effectExtent b="0" l="0" r="0" t="0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2405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7">
      <w:pPr>
        <w:pStyle w:val="Heading1"/>
        <w:rPr/>
        <w:sectPr>
          <w:type w:val="nextPage"/>
          <w:pgSz w:h="16834" w:w="11909" w:orient="portrait"/>
          <w:pgMar w:bottom="1440" w:top="1440" w:left="1440" w:right="1440" w:header="720" w:footer="720"/>
        </w:sectPr>
      </w:pPr>
      <w:bookmarkStart w:colFirst="0" w:colLast="0" w:name="_azce66eoqsep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1"/>
        <w:rPr/>
      </w:pPr>
      <w:bookmarkStart w:colFirst="0" w:colLast="0" w:name="_xnw7vxdo45jv" w:id="16"/>
      <w:bookmarkEnd w:id="16"/>
      <w:r w:rsidDel="00000000" w:rsidR="00000000" w:rsidRPr="00000000">
        <w:rPr>
          <w:rtl w:val="0"/>
        </w:rPr>
        <w:t xml:space="preserve">Gramatyka</w:t>
      </w:r>
    </w:p>
    <w:p w:rsidR="00000000" w:rsidDel="00000000" w:rsidP="00000000" w:rsidRDefault="00000000" w:rsidRPr="00000000" w14:paraId="000000C9">
      <w:pPr>
        <w:pStyle w:val="Heading2"/>
        <w:rPr/>
      </w:pPr>
      <w:bookmarkStart w:colFirst="0" w:colLast="0" w:name="_p1bnfvv4np8w" w:id="17"/>
      <w:bookmarkEnd w:id="17"/>
      <w:r w:rsidDel="00000000" w:rsidR="00000000" w:rsidRPr="00000000">
        <w:rPr>
          <w:rtl w:val="0"/>
        </w:rPr>
        <w:t xml:space="preserve">Struktura zdania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ab/>
        <w:t xml:space="preserve">W Sanskrycie występuje struktura zdania SOV (subject-object-verb). Na przykład बालाः पुस्तकम् पठन्ति (tł. chłopcy książkę czytają).</w:t>
      </w:r>
    </w:p>
    <w:p w:rsidR="00000000" w:rsidDel="00000000" w:rsidP="00000000" w:rsidRDefault="00000000" w:rsidRPr="00000000" w14:paraId="000000CB">
      <w:pPr>
        <w:pStyle w:val="Heading2"/>
        <w:rPr/>
      </w:pPr>
      <w:bookmarkStart w:colFirst="0" w:colLast="0" w:name="_wjal1awod1ll" w:id="18"/>
      <w:bookmarkEnd w:id="18"/>
      <w:r w:rsidDel="00000000" w:rsidR="00000000" w:rsidRPr="00000000">
        <w:rPr>
          <w:rtl w:val="0"/>
        </w:rPr>
        <w:t xml:space="preserve">deklinacja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ab/>
        <w:t xml:space="preserve">Forma rzeczownika = przypadek + liczba + rodzaj gramatyczny + temat;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प्रातिपदिक​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सुप्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końcówka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बालाः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बाल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jc w:val="center"/>
              <w:rPr>
                <w:color w:val="ff0000"/>
                <w:sz w:val="30"/>
                <w:szCs w:val="3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color w:val="ff0000"/>
                <w:sz w:val="30"/>
                <w:szCs w:val="30"/>
                <w:rtl w:val="0"/>
              </w:rPr>
              <w:t xml:space="preserve">ाः</w:t>
            </w:r>
          </w:p>
        </w:tc>
      </w:tr>
    </w:tbl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Style w:val="Heading3"/>
        <w:rPr/>
      </w:pPr>
      <w:bookmarkStart w:colFirst="0" w:colLast="0" w:name="_jv4vy5site8z" w:id="19"/>
      <w:bookmarkEnd w:id="19"/>
      <w:r w:rsidDel="00000000" w:rsidR="00000000" w:rsidRPr="00000000">
        <w:rPr>
          <w:rtl w:val="0"/>
        </w:rPr>
        <w:t xml:space="preserve">Deklinacja rzeczownika rodzaju męskiego z tematem zakończonym -a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(wg pierwszego paradygmatu?)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830"/>
        <w:gridCol w:w="1770"/>
        <w:gridCol w:w="1800"/>
        <w:gridCol w:w="1800"/>
        <w:tblGridChange w:id="0">
          <w:tblGrid>
            <w:gridCol w:w="1800"/>
            <w:gridCol w:w="1830"/>
            <w:gridCol w:w="1770"/>
            <w:gridCol w:w="1800"/>
            <w:gridCol w:w="18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przypadek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pytanie na które odpowiada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końcówki dodawane po 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Singularis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Dualis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Pluralis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प्रथमा 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Nominativus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kto? co?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‌‌‌‌‌‌‌‌‌ौ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द्वितिया 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Accusativus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kogo? co?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ौ 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ान्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तृतीया 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Instrumentalis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kim? czym? z kim? z czym? przez kogo? przez co?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ेन 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ैः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चतुर्थी 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komu? czemu? dla kogo? dla czego?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ाय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ेभ्यः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पञ्चमी 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Ablativus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skąd? od kogo? od czego? z czego?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ात्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ाभ्याम्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ेभ्यः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षष्ठी 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Genetivus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kogo? czego?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स्य 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योः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ानाम्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सप्तमी 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Locativus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gdzie? w kim? w czym?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योः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ेषु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संबोधनम्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Vocativus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ौ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ाः</w:t>
            </w:r>
          </w:p>
        </w:tc>
      </w:tr>
    </w:tbl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  <w:t xml:space="preserve">przykład na słowie कूप (</w:t>
      </w:r>
      <w:r w:rsidDel="00000000" w:rsidR="00000000" w:rsidRPr="00000000">
        <w:rPr>
          <w:i w:val="1"/>
          <w:rtl w:val="0"/>
        </w:rPr>
        <w:t xml:space="preserve">kūpa</w:t>
      </w:r>
      <w:r w:rsidDel="00000000" w:rsidR="00000000" w:rsidRPr="00000000">
        <w:rPr>
          <w:rtl w:val="0"/>
        </w:rPr>
        <w:t xml:space="preserve">) – studnia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75"/>
        <w:gridCol w:w="2595"/>
        <w:gridCol w:w="2955"/>
        <w:gridCol w:w="2850"/>
        <w:tblGridChange w:id="0">
          <w:tblGrid>
            <w:gridCol w:w="675"/>
            <w:gridCol w:w="2595"/>
            <w:gridCol w:w="2955"/>
            <w:gridCol w:w="28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कूपौ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कूपाः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कूपौ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कूपान्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कूपेन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कूपैः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कूपाय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कूपेभ्यः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Abl.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कूपात्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कूपेभ्यः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कूपयोः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कूपानाम्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कूपयोः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कूपेषु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कूपौ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कूपाः</w:t>
            </w:r>
          </w:p>
        </w:tc>
      </w:tr>
    </w:tbl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Style w:val="Heading3"/>
        <w:rPr/>
      </w:pPr>
      <w:bookmarkStart w:colFirst="0" w:colLast="0" w:name="_157sa88rmsbm" w:id="20"/>
      <w:bookmarkEnd w:id="20"/>
      <w:r w:rsidDel="00000000" w:rsidR="00000000" w:rsidRPr="00000000">
        <w:rPr>
          <w:rtl w:val="0"/>
        </w:rPr>
        <w:t xml:space="preserve">Deklinacja rzeczownika rodzaju nijakiego z tematem zakończonym -a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830"/>
        <w:gridCol w:w="1770"/>
        <w:gridCol w:w="1800"/>
        <w:gridCol w:w="1800"/>
        <w:tblGridChange w:id="0">
          <w:tblGrid>
            <w:gridCol w:w="1800"/>
            <w:gridCol w:w="1830"/>
            <w:gridCol w:w="1770"/>
            <w:gridCol w:w="1800"/>
            <w:gridCol w:w="18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przypadek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pytanie na które odpowiada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końcówki dodawane po 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Singularis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Dualis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Pluralis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प्रथमा 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Nominativus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kto? co?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ानि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द्वितिया </w:t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Accusativus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kogo? co?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ानि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तृतीया </w:t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Instrumentalis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kim? czym? z kim? z czym? przez kogo? przez co?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ेन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ाभ्याम् </w:t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ैः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चतुर्थी 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komu? czemu? dla kogo? dla czego?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ाय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ेभ्यः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पञ्चमी </w:t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Ablativus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skąd? od kogo? od czego? z czego?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ात्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ेभ्यः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षष्ठी </w:t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Genetivus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kogo? czego?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स्य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योः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ानाम्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सप्तमी </w:t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Locativus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gdzie? w kim? w czym?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योः </w:t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ेषु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संबोधनम्</w:t>
            </w:r>
          </w:p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Vocativus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ानि</w:t>
            </w:r>
          </w:p>
        </w:tc>
      </w:tr>
    </w:tbl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  <w:t xml:space="preserve">przykład deklinacji na słowie धन​ (dhana)</w:t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धनानि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धनानि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धनेन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धनैः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धनाय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धनेभ्यः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Abl.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धनात्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धनाभ्याम्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धनेभ्यः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धनस्य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 योः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धनानाम्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धनयोः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धनेषु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धनानि</w:t>
            </w:r>
          </w:p>
        </w:tc>
      </w:tr>
    </w:tbl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Style w:val="Heading1"/>
        <w:rPr/>
      </w:pPr>
      <w:bookmarkStart w:colFirst="0" w:colLast="0" w:name="_aps0u2pjc12u" w:id="21"/>
      <w:bookmarkEnd w:id="21"/>
      <w:r w:rsidDel="00000000" w:rsidR="00000000" w:rsidRPr="00000000">
        <w:rPr>
          <w:rtl w:val="0"/>
        </w:rPr>
        <w:t xml:space="preserve">Czasownik</w:t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  <w:tab/>
        <w:t xml:space="preserve">W Sanskrycie podstawową formą czasownika jest pierwiastek (w odróżnieniu od np. języka polskiego, w którym jest to bezokolicznik).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2333625</wp:posOffset>
            </wp:positionH>
            <wp:positionV relativeFrom="paragraph">
              <wp:posOffset>476250</wp:posOffset>
            </wp:positionV>
            <wp:extent cx="3852863" cy="140238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14023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  <w:tab/>
        <w:t xml:space="preserve">Występują dwa rodzaje koniugacji czasownika, tematyczna i atematyczna. Czasowniki których formę tworzy się regularnie, na bazie tematu, są jak nazwa wskazuje tematyczne. Występuje również 10 klas czasowników. W koniugacji tematycznej występują klasy pierwsza, czwarta, szósta i </w:t>
      </w:r>
      <w:r w:rsidDel="00000000" w:rsidR="00000000" w:rsidRPr="00000000">
        <w:rPr>
          <w:rtl w:val="0"/>
        </w:rPr>
        <w:t xml:space="preserve">dziesiąta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  <w:tab/>
        <w:t xml:space="preserve">Klasę rzeczownika, w koniugacji tematycznej (?), można rozpoznać po temacie– nie po pierwiastku.</w:t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Style w:val="Heading2"/>
        <w:rPr/>
      </w:pPr>
      <w:bookmarkStart w:colFirst="0" w:colLast="0" w:name="_8r6sbd14zkab" w:id="22"/>
      <w:bookmarkEnd w:id="2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संधि – saṃdhi</w:t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  <w:tab/>
        <w:t xml:space="preserve">Zespół reguł gramatycznych, które opisują zmiany fonetyczne  zachodzące między wyrazami lub na połączeniu morfemów</w:t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Style w:val="Heading3"/>
        <w:rPr/>
      </w:pPr>
      <w:bookmarkStart w:colFirst="0" w:colLast="0" w:name="_a9dwu86t9n95" w:id="23"/>
      <w:bookmarkEnd w:id="23"/>
      <w:r w:rsidDel="00000000" w:rsidR="00000000" w:rsidRPr="00000000">
        <w:rPr>
          <w:rtl w:val="0"/>
        </w:rPr>
        <w:t xml:space="preserve">anusvāra saṃdhi</w:t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  <w:tab/>
        <w:t xml:space="preserve">Jeśli wyraz kończy się na म् (-m), a drugi zaczyna się od czegoś innego niż samogłoski, म् (-m) zamienia się w anusvārę – ं (ṃ). Przykład: ग्रमम् गच्छति → ग्रमं गच्छति।</w:t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  <w:tab/>
        <w:t xml:space="preserve">Jeśli wyraz kończy się na म् (-m), a drugi zaczyna się od dowolnej samogłoski, są one łączone. Przykład: ग्रमम् अत्र → ग्रममत्र​।</w:t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  <w:tab/>
        <w:t xml:space="preserve">Drugi etap anusvāra saṃdhi nie zachodzi zawsze, jest bardziej wyborem stylistycznym niektórych poetów. Nie zachodzi on jeśli drugi element zaczyna się od sybilantu (r/ś/s/ṣ/h). W innym wypadku, म् zamienia się w głoskę nosową odpowiadającą pierwszej głosce następnego elementu. Przykład: फलम् खादामि → फलं खादामि → फलङ्खादामि।</w:t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434343"/>
          <w:sz w:val="28"/>
          <w:szCs w:val="28"/>
          <w:rtl w:val="0"/>
        </w:rPr>
        <w:t xml:space="preserve">saṃdhi wewnątrzwyrazowe cereblarizacja N zębowego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  <w:tab/>
        <w:t xml:space="preserve">Czasem, w środku wyrazu, przy spełnieniu specyficznych warunków, न् może się zmienić w ण्. </w:t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  <w:tab/>
        <w:t xml:space="preserve">N znajdujące się gdziekolwiek w głosce, poza początkiem ani końcem, może się zmienić. Gdzieś przed tym N znajduje się dźwięk (zębowy?) (r, ṛ, ṝ, ṣ). Gdzieś po tym N musi się znaleźć samogłoska, albo (m, y, v, n). Jeśli pojawi się głoska palatalna (poza y), cerebralna, albo zębowa (poza N) pomiędzy dźwiękiem zębowym a N, albo N a głoską której dotyczy druga zasada, to saṃdhi nie nastąpi.</w:t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  <w:tab/>
        <w:t xml:space="preserve">Przykład:</w:t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słowo w temacie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słowo w odmianie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słowo po zajściu saṃdhi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शरीर </w:t>
            </w:r>
            <w:r w:rsidDel="00000000" w:rsidR="00000000" w:rsidRPr="00000000">
              <w:rPr>
                <w:rtl w:val="0"/>
              </w:rPr>
              <w:t xml:space="preserve">(n)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शरीरानि</w:t>
            </w:r>
            <w:r w:rsidDel="00000000" w:rsidR="00000000" w:rsidRPr="00000000">
              <w:rPr>
                <w:rtl w:val="0"/>
              </w:rPr>
              <w:t xml:space="preserve"> (nNP)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शरीराणि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नर </w:t>
            </w:r>
            <w:r w:rsidDel="00000000" w:rsidR="00000000" w:rsidRPr="00000000">
              <w:rPr>
                <w:rtl w:val="0"/>
              </w:rPr>
              <w:t xml:space="preserve">(m)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नरानाम्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(mGP)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>
                <w:sz w:val="30"/>
                <w:szCs w:val="3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नरणाम्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अर्जुन </w:t>
            </w:r>
            <w:r w:rsidDel="00000000" w:rsidR="00000000" w:rsidRPr="00000000">
              <w:rPr>
                <w:rtl w:val="0"/>
              </w:rPr>
              <w:t xml:space="preserve">(n)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>
                <w:sz w:val="30"/>
                <w:szCs w:val="3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30"/>
                <w:szCs w:val="30"/>
                <w:rtl w:val="0"/>
              </w:rPr>
              <w:t xml:space="preserve">अर्जुनेन </w:t>
            </w:r>
            <w:r w:rsidDel="00000000" w:rsidR="00000000" w:rsidRPr="00000000">
              <w:rPr>
                <w:rtl w:val="0"/>
              </w:rPr>
              <w:t xml:space="preserve">(IS)</w:t>
            </w:r>
            <w:r w:rsidDel="00000000" w:rsidR="00000000" w:rsidRPr="00000000">
              <w:rPr>
                <w:sz w:val="30"/>
                <w:szCs w:val="30"/>
                <w:rtl w:val="0"/>
              </w:rPr>
              <w:t xml:space="preserve">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Nie zachodzi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Style w:val="Heading2"/>
        <w:rPr/>
      </w:pPr>
      <w:bookmarkStart w:colFirst="0" w:colLast="0" w:name="_1m468tmy1kc5" w:id="24"/>
      <w:bookmarkEnd w:id="24"/>
      <w:r w:rsidDel="00000000" w:rsidR="00000000" w:rsidRPr="00000000">
        <w:rPr>
          <w:rtl w:val="0"/>
        </w:rPr>
        <w:t xml:space="preserve">Spójniki i partykuły</w:t>
      </w:r>
    </w:p>
    <w:p w:rsidR="00000000" w:rsidDel="00000000" w:rsidP="00000000" w:rsidRDefault="00000000" w:rsidRPr="00000000" w14:paraId="000001C4">
      <w:pPr>
        <w:pStyle w:val="Heading3"/>
        <w:rPr/>
      </w:pPr>
      <w:bookmarkStart w:colFirst="0" w:colLast="0" w:name="_j736ay954zs2" w:id="25"/>
      <w:bookmarkEnd w:id="25"/>
      <w:r w:rsidDel="00000000" w:rsidR="00000000" w:rsidRPr="00000000">
        <w:rPr>
          <w:rFonts w:ascii="Palanquin Dark" w:cs="Palanquin Dark" w:eastAsia="Palanquin Dark" w:hAnsi="Palanquin Dark"/>
          <w:rtl w:val="0"/>
        </w:rPr>
        <w:tab/>
        <w:t xml:space="preserve">न​ – nie</w:t>
      </w:r>
    </w:p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  <w:tab/>
        <w:t xml:space="preserve">Główna partykuła przecząca, występuje bezpośrednio przed tym czemu przeczy. Użycie podwójnej negacji wzmacnia twierdzenie pozytywne.</w:t>
      </w:r>
    </w:p>
    <w:p w:rsidR="00000000" w:rsidDel="00000000" w:rsidP="00000000" w:rsidRDefault="00000000" w:rsidRPr="00000000" w14:paraId="000001C6">
      <w:pPr>
        <w:pStyle w:val="Heading3"/>
        <w:rPr/>
      </w:pPr>
      <w:bookmarkStart w:colFirst="0" w:colLast="0" w:name="_swi4sdz2po39" w:id="26"/>
      <w:bookmarkEnd w:id="26"/>
      <w:r w:rsidDel="00000000" w:rsidR="00000000" w:rsidRPr="00000000">
        <w:rPr>
          <w:rtl w:val="0"/>
        </w:rPr>
        <w:tab/>
        <w:t xml:space="preserve">च​ – łącznik spójny, “i”</w:t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  <w:tab/>
        <w:t xml:space="preserve">W wyliczeniu znajduje się po ostatnim elemencie należącym do grupy, bez względu na to, jak wiele elementów wymieniamy. Przykład:</w:t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  <w:t xml:space="preserve">रामः कृष्णः च – rāma i kṛṣṇa </w:t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  <w:t xml:space="preserve">रामः कृष्णः माधवः च​ – rāma kṛṣṇa i mādhava</w:t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  <w:tab/>
        <w:t xml:space="preserve">Jeżeli łączy dwa zdania w zdaniu złożonym, występuje po pierwszym słowie drugiego zdania. Przykład:</w:t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Fonts w:ascii="Palanquin Dark" w:cs="Palanquin Dark" w:eastAsia="Palanquin Dark" w:hAnsi="Palanquin Dark"/>
          <w:rtl w:val="0"/>
        </w:rPr>
        <w:t xml:space="preserve">रामः गच्छति । रामः पतति । – rama idzie. rama upada.</w:t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Fonts w:ascii="Palanquin Dark" w:cs="Palanquin Dark" w:eastAsia="Palanquin Dark" w:hAnsi="Palanquin Dark"/>
          <w:rtl w:val="0"/>
        </w:rPr>
        <w:t xml:space="preserve"> रामः गच्छति पतति च​। – rama idzie i upada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1CE">
      <w:pPr>
        <w:pStyle w:val="Heading4"/>
        <w:rPr/>
      </w:pPr>
      <w:bookmarkStart w:colFirst="0" w:colLast="0" w:name="_uqi2drmwqxwz" w:id="27"/>
      <w:bookmarkEnd w:id="27"/>
      <w:r w:rsidDel="00000000" w:rsidR="00000000" w:rsidRPr="00000000">
        <w:rPr>
          <w:rtl w:val="0"/>
        </w:rPr>
        <w:t xml:space="preserve">वा – spójnik rozłączny albo, lub, bądź</w:t>
      </w:r>
    </w:p>
    <w:p w:rsidR="00000000" w:rsidDel="00000000" w:rsidP="00000000" w:rsidRDefault="00000000" w:rsidRPr="00000000" w14:paraId="000001CF">
      <w:pPr>
        <w:pStyle w:val="Heading4"/>
        <w:rPr/>
      </w:pPr>
      <w:bookmarkStart w:colFirst="0" w:colLast="0" w:name="_qhrkz17hzvvc" w:id="28"/>
      <w:bookmarkEnd w:id="28"/>
      <w:r w:rsidDel="00000000" w:rsidR="00000000" w:rsidRPr="00000000">
        <w:rPr>
          <w:rtl w:val="0"/>
        </w:rPr>
        <w:t xml:space="preserve">एव​ – Partykuła wzmacniająca</w:t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  <w:t xml:space="preserve">“tylko”, “właśnie”, “zwłaszcza”, “na pewno”, itp</w:t>
      </w:r>
    </w:p>
    <w:p w:rsidR="00000000" w:rsidDel="00000000" w:rsidP="00000000" w:rsidRDefault="00000000" w:rsidRPr="00000000" w14:paraId="000001D1">
      <w:pPr>
        <w:pStyle w:val="Heading4"/>
        <w:rPr/>
      </w:pPr>
      <w:bookmarkStart w:colFirst="0" w:colLast="0" w:name="_n746o5dfbxou" w:id="29"/>
      <w:bookmarkEnd w:id="29"/>
      <w:r w:rsidDel="00000000" w:rsidR="00000000" w:rsidRPr="00000000">
        <w:rPr>
          <w:rtl w:val="0"/>
        </w:rPr>
        <w:t xml:space="preserve">इति – odpowiednik cudzysłowu</w:t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  <w:t xml:space="preserve">Nie jest to znak interpunkcyjny, używane jako słowo. Zawsze na końcu cytatu, czasem tłumaczone jako “oto”</w:t>
      </w:r>
    </w:p>
    <w:p w:rsidR="00000000" w:rsidDel="00000000" w:rsidP="00000000" w:rsidRDefault="00000000" w:rsidRPr="00000000" w14:paraId="000001D3">
      <w:pPr>
        <w:rPr/>
        <w:sectPr>
          <w:type w:val="nextPage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Style w:val="Heading1"/>
        <w:rPr/>
      </w:pPr>
      <w:bookmarkStart w:colFirst="0" w:colLast="0" w:name="_jw4urxla0sd3" w:id="30"/>
      <w:bookmarkEnd w:id="30"/>
      <w:r w:rsidDel="00000000" w:rsidR="00000000" w:rsidRPr="00000000">
        <w:rPr>
          <w:rtl w:val="0"/>
        </w:rPr>
        <w:t xml:space="preserve">Przydatne strony online, z opisem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2220"/>
        <w:gridCol w:w="5175"/>
        <w:tblGridChange w:id="0">
          <w:tblGrid>
            <w:gridCol w:w="1605"/>
            <w:gridCol w:w="2220"/>
            <w:gridCol w:w="51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tytuł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 czego przydatne?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Acharya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http://www.acharya.gen.in:8080/sanskrit/new-sans.php?lnum=0&amp;pnum=15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Link do rozpisanych ligatur z wyjątkami, na stronie są też inne rzeczy. (ale używają innej – dziwnej – transkrypcji)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Bhagavadgita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https://www.bhagavadgita.eu/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Dobre do ćwiczenia transliteracji + przy przetłumaczonych fragmentach znajdują się też komentarze do gramatyki i składni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Lexilogos Keyboard Devanagari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https://www.lexilogos.com/keyboard/sanskrit_devanagari.htm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klawiatura devanagari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Lexilogos Keyboard IAST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https://www.lexilogos.com/keyboard/sanskrit_latin.htm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Klawiatura transkrypcji naukowej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Lexilogos Dictionary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https://www.lexilogos.com/english/sanskrit_dictionary.htm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słownik sanskrytu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Sanskrit for beginners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https://www.learnsanskrit.org/guide/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jasne, przejrzyste instrukcje odnośnie gramatyki, ligatur, etc.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E">
      <w:pPr>
        <w:rPr/>
        <w:sectPr>
          <w:type w:val="nextPage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Style w:val="Heading1"/>
        <w:jc w:val="center"/>
        <w:rPr/>
      </w:pPr>
      <w:bookmarkStart w:colFirst="0" w:colLast="0" w:name="_ql1xv2g6owe5" w:id="31"/>
      <w:bookmarkEnd w:id="31"/>
      <w:r w:rsidDel="00000000" w:rsidR="00000000" w:rsidRPr="00000000">
        <w:rPr>
          <w:rtl w:val="0"/>
        </w:rPr>
        <w:t xml:space="preserve">Podręczniki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Andrzej Gawroński, </w:t>
      </w:r>
      <w:r w:rsidDel="00000000" w:rsidR="00000000" w:rsidRPr="00000000">
        <w:rPr>
          <w:i w:val="1"/>
          <w:rtl w:val="0"/>
        </w:rPr>
        <w:t xml:space="preserve">Podręcznik Sanskrytu: gramatyka – wypisy – objaśnienia – słownik</w:t>
      </w:r>
      <w:r w:rsidDel="00000000" w:rsidR="00000000" w:rsidRPr="00000000">
        <w:rPr>
          <w:rtl w:val="0"/>
        </w:rPr>
        <w:t xml:space="preserve">, wyd. Dialog, Warszawa 2009.</w:t>
      </w:r>
    </w:p>
    <w:p w:rsidR="00000000" w:rsidDel="00000000" w:rsidP="00000000" w:rsidRDefault="00000000" w:rsidRPr="00000000" w14:paraId="000001F1">
      <w:pPr>
        <w:rPr/>
        <w:sectPr>
          <w:type w:val="nextPage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Style w:val="Heading1"/>
        <w:rPr/>
      </w:pPr>
      <w:bookmarkStart w:colFirst="0" w:colLast="0" w:name="_wey1xmjw7piw" w:id="32"/>
      <w:bookmarkEnd w:id="32"/>
      <w:r w:rsidDel="00000000" w:rsidR="00000000" w:rsidRPr="00000000">
        <w:rPr>
          <w:rtl w:val="0"/>
        </w:rPr>
        <w:t xml:space="preserve">“Hej, co było na zadanie?”</w:t>
      </w:r>
    </w:p>
    <w:p w:rsidR="00000000" w:rsidDel="00000000" w:rsidP="00000000" w:rsidRDefault="00000000" w:rsidRPr="00000000" w14:paraId="000001F3">
      <w:pPr>
        <w:pStyle w:val="Heading4"/>
        <w:rPr/>
      </w:pPr>
      <w:bookmarkStart w:colFirst="0" w:colLast="0" w:name="_c2t5axvmvow1" w:id="33"/>
      <w:bookmarkEnd w:id="33"/>
      <w:r w:rsidDel="00000000" w:rsidR="00000000" w:rsidRPr="00000000">
        <w:rPr>
          <w:rtl w:val="0"/>
        </w:rPr>
        <w:t xml:space="preserve">27.02.2024</w:t>
      </w:r>
    </w:p>
    <w:p w:rsidR="00000000" w:rsidDel="00000000" w:rsidP="00000000" w:rsidRDefault="00000000" w:rsidRPr="00000000" w14:paraId="000001F4">
      <w:pPr>
        <w:pStyle w:val="Heading4"/>
        <w:rPr/>
      </w:pPr>
      <w:bookmarkStart w:colFirst="0" w:colLast="0" w:name="_av5eb47dae5d" w:id="34"/>
      <w:bookmarkEnd w:id="34"/>
      <w:r w:rsidDel="00000000" w:rsidR="00000000" w:rsidRPr="00000000">
        <w:rPr>
          <w:rtl w:val="0"/>
        </w:rPr>
        <w:t xml:space="preserve">29.02.2024</w:t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rtl w:val="0"/>
        </w:rPr>
        <w:t xml:space="preserve">Do </w:t>
      </w:r>
      <w:r w:rsidDel="00000000" w:rsidR="00000000" w:rsidRPr="00000000">
        <w:rPr>
          <w:rtl w:val="0"/>
        </w:rPr>
        <w:t xml:space="preserve">przetranskrybowania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8340"/>
        <w:tblGridChange w:id="0">
          <w:tblGrid>
            <w:gridCol w:w="660"/>
            <w:gridCol w:w="8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एव रमेण कमलम् जलैहः</w:t>
            </w:r>
          </w:p>
          <w:p w:rsidR="00000000" w:rsidDel="00000000" w:rsidP="00000000" w:rsidRDefault="00000000" w:rsidRPr="00000000" w14:paraId="000001F8">
            <w:pPr>
              <w:widowControl w:val="0"/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इह ईतिः दारुणा औषधम्</w:t>
            </w:r>
          </w:p>
          <w:p w:rsidR="00000000" w:rsidDel="00000000" w:rsidP="00000000" w:rsidRDefault="00000000" w:rsidRPr="00000000" w14:paraId="000001F9">
            <w:pPr>
              <w:widowControl w:val="0"/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ओघः वनयोः ऊकारः भवतः</w:t>
            </w:r>
          </w:p>
          <w:p w:rsidR="00000000" w:rsidDel="00000000" w:rsidP="00000000" w:rsidRDefault="00000000" w:rsidRPr="00000000" w14:paraId="000001FA">
            <w:pPr>
              <w:widowControl w:val="0"/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भोः केन तं नमामि</w:t>
            </w:r>
          </w:p>
          <w:p w:rsidR="00000000" w:rsidDel="00000000" w:rsidP="00000000" w:rsidRDefault="00000000" w:rsidRPr="00000000" w14:paraId="000001FB">
            <w:pPr>
              <w:widowControl w:val="0"/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दुःखः गुरु चरणौ गृहम्</w:t>
            </w:r>
          </w:p>
          <w:p w:rsidR="00000000" w:rsidDel="00000000" w:rsidP="00000000" w:rsidRDefault="00000000" w:rsidRPr="00000000" w14:paraId="000001FC">
            <w:pPr>
              <w:widowControl w:val="0"/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सुखम् देही गुरुर् रूपाणि</w:t>
            </w:r>
          </w:p>
          <w:p w:rsidR="00000000" w:rsidDel="00000000" w:rsidP="00000000" w:rsidRDefault="00000000" w:rsidRPr="00000000" w14:paraId="000001FD">
            <w:pPr>
              <w:widowControl w:val="0"/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कि हीना कुतः निशा</w:t>
            </w:r>
          </w:p>
          <w:p w:rsidR="00000000" w:rsidDel="00000000" w:rsidP="00000000" w:rsidRDefault="00000000" w:rsidRPr="00000000" w14:paraId="000001FE">
            <w:pPr>
              <w:widowControl w:val="0"/>
              <w:spacing w:after="240" w:before="240" w:line="240" w:lineRule="auto"/>
              <w:jc w:val="both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संयमी भूतानि कामकामी एवैष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lavanam guru rājā laukikāt</w:t>
            </w:r>
          </w:p>
          <w:p w:rsidR="00000000" w:rsidDel="00000000" w:rsidP="00000000" w:rsidRDefault="00000000" w:rsidRPr="00000000" w14:paraId="00000201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kṛtaḥ etad padaṃ muneḥ</w:t>
            </w:r>
          </w:p>
          <w:p w:rsidR="00000000" w:rsidDel="00000000" w:rsidP="00000000" w:rsidRDefault="00000000" w:rsidRPr="00000000" w14:paraId="00000202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dhanāḥ ṛtu idam bhāvāni</w:t>
            </w:r>
          </w:p>
          <w:p w:rsidR="00000000" w:rsidDel="00000000" w:rsidP="00000000" w:rsidRDefault="00000000" w:rsidRPr="00000000" w14:paraId="00000203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ṣaṭ ḍamaruṃ vadatha yuvām</w:t>
            </w:r>
          </w:p>
          <w:p w:rsidR="00000000" w:rsidDel="00000000" w:rsidP="00000000" w:rsidRDefault="00000000" w:rsidRPr="00000000" w14:paraId="00000204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sīdati hṛda bodhatḥ bālau</w:t>
            </w:r>
          </w:p>
          <w:p w:rsidR="00000000" w:rsidDel="00000000" w:rsidP="00000000" w:rsidRDefault="00000000" w:rsidRPr="00000000" w14:paraId="00000205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janakīm kūpaṃ chāyā ṭikā</w:t>
            </w:r>
          </w:p>
          <w:p w:rsidR="00000000" w:rsidDel="00000000" w:rsidP="00000000" w:rsidRDefault="00000000" w:rsidRPr="00000000" w14:paraId="00000206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sevā lata gajaiḥ ubhayataḥ</w:t>
            </w:r>
          </w:p>
          <w:p w:rsidR="00000000" w:rsidDel="00000000" w:rsidP="00000000" w:rsidRDefault="00000000" w:rsidRPr="00000000" w14:paraId="00000207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nṛpaṃ māṃsam tṛṇe dhik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खग गल कण कट घन मठ</w:t>
            </w:r>
          </w:p>
          <w:p w:rsidR="00000000" w:rsidDel="00000000" w:rsidP="00000000" w:rsidRDefault="00000000" w:rsidRPr="00000000" w14:paraId="0000020A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नड पद चल छद इदम् इह</w:t>
            </w:r>
          </w:p>
          <w:p w:rsidR="00000000" w:rsidDel="00000000" w:rsidP="00000000" w:rsidRDefault="00000000" w:rsidRPr="00000000" w14:paraId="0000020B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जनं झषा तलम् दलात् धनानि फलेन</w:t>
            </w:r>
          </w:p>
          <w:p w:rsidR="00000000" w:rsidDel="00000000" w:rsidP="00000000" w:rsidRDefault="00000000" w:rsidRPr="00000000" w14:paraId="0000020C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बकः मदे रणाः मलाय शरेण भोः</w:t>
            </w:r>
          </w:p>
          <w:p w:rsidR="00000000" w:rsidDel="00000000" w:rsidP="00000000" w:rsidRDefault="00000000" w:rsidRPr="00000000" w14:paraId="0000020D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इमम् अयं भटाः यवं वनयोः शशम्</w:t>
            </w:r>
          </w:p>
          <w:p w:rsidR="00000000" w:rsidDel="00000000" w:rsidP="00000000" w:rsidRDefault="00000000" w:rsidRPr="00000000" w14:paraId="0000020E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हरिः सुखानि गीता यौवनम् कोपः छाया</w:t>
            </w:r>
          </w:p>
          <w:p w:rsidR="00000000" w:rsidDel="00000000" w:rsidP="00000000" w:rsidRDefault="00000000" w:rsidRPr="00000000" w14:paraId="0000020F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तियिम् दोषनि कृतः दुहितृ दुःखात् भूमिं</w:t>
            </w:r>
          </w:p>
          <w:p w:rsidR="00000000" w:rsidDel="00000000" w:rsidP="00000000" w:rsidRDefault="00000000" w:rsidRPr="00000000" w14:paraId="00000210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अलंकारम् नैषधैः नृपतिम् सुसमाहितम् कुशलाः भूषणानि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kanakam</w:t>
            </w:r>
            <w:r w:rsidDel="00000000" w:rsidR="00000000" w:rsidRPr="00000000">
              <w:rPr>
                <w:rtl w:val="0"/>
              </w:rPr>
              <w:t xml:space="preserve"> tanayāya patanaṃ damane</w:t>
            </w:r>
          </w:p>
          <w:p w:rsidR="00000000" w:rsidDel="00000000" w:rsidP="00000000" w:rsidRDefault="00000000" w:rsidRPr="00000000" w14:paraId="00000215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śaraṇeṇa bahalāt yavasaiḥ vacanaṃ</w:t>
            </w:r>
          </w:p>
          <w:p w:rsidR="00000000" w:rsidDel="00000000" w:rsidP="00000000" w:rsidRDefault="00000000" w:rsidRPr="00000000" w14:paraId="00000216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daśamaḥ tapanayoḥ nagare namanaiḥ</w:t>
            </w:r>
          </w:p>
          <w:p w:rsidR="00000000" w:rsidDel="00000000" w:rsidP="00000000" w:rsidRDefault="00000000" w:rsidRPr="00000000" w14:paraId="00000217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phalakaṃ </w:t>
            </w:r>
            <w:r w:rsidDel="00000000" w:rsidR="00000000" w:rsidRPr="00000000">
              <w:rPr>
                <w:rtl w:val="0"/>
              </w:rPr>
              <w:t xml:space="preserve">bhajanam</w:t>
            </w:r>
            <w:r w:rsidDel="00000000" w:rsidR="00000000" w:rsidRPr="00000000">
              <w:rPr>
                <w:rtl w:val="0"/>
              </w:rPr>
              <w:t xml:space="preserve"> makaraḥ jananī</w:t>
            </w:r>
          </w:p>
          <w:p w:rsidR="00000000" w:rsidDel="00000000" w:rsidP="00000000" w:rsidRDefault="00000000" w:rsidRPr="00000000" w14:paraId="00000218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yavanam</w:t>
            </w:r>
            <w:r w:rsidDel="00000000" w:rsidR="00000000" w:rsidRPr="00000000">
              <w:rPr>
                <w:rtl w:val="0"/>
              </w:rPr>
              <w:t xml:space="preserve"> devāḥ pūjā kutūhalam</w:t>
            </w:r>
          </w:p>
          <w:p w:rsidR="00000000" w:rsidDel="00000000" w:rsidP="00000000" w:rsidRDefault="00000000" w:rsidRPr="00000000" w14:paraId="00000219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bhojanāt duhitṛm kṛṣiṃ guṇāni</w:t>
            </w:r>
          </w:p>
          <w:p w:rsidR="00000000" w:rsidDel="00000000" w:rsidP="00000000" w:rsidRDefault="00000000" w:rsidRPr="00000000" w14:paraId="0000021A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surabhim</w:t>
            </w:r>
            <w:r w:rsidDel="00000000" w:rsidR="00000000" w:rsidRPr="00000000">
              <w:rPr>
                <w:rtl w:val="0"/>
              </w:rPr>
              <w:t xml:space="preserve"> purogamāt pīḍitāya ḍamarum</w:t>
            </w:r>
          </w:p>
          <w:p w:rsidR="00000000" w:rsidDel="00000000" w:rsidP="00000000" w:rsidRDefault="00000000" w:rsidRPr="00000000" w14:paraId="0000021B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ekadā aho idānim rudhirā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Baloo"/>
  <w:font w:name="Palanquin Dark">
    <w:embedRegular w:fontKey="{00000000-0000-0000-0000-000000000000}" r:id="rId4" w:subsetted="0"/>
    <w:embedBold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1F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PalanquinDark-regular.ttf"/><Relationship Id="rId5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